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D7" w:rsidRPr="00D04CE6" w:rsidRDefault="00D04CE6">
      <w:pPr>
        <w:rPr>
          <w:rFonts w:ascii="標楷體" w:eastAsia="標楷體" w:hAnsi="標楷體"/>
          <w:sz w:val="28"/>
          <w:szCs w:val="28"/>
        </w:rPr>
      </w:pPr>
      <w:r w:rsidRPr="00D04CE6">
        <w:rPr>
          <w:rFonts w:ascii="標楷體" w:eastAsia="標楷體" w:hAnsi="標楷體"/>
          <w:sz w:val="28"/>
          <w:szCs w:val="28"/>
        </w:rPr>
        <w:t>花蓮縣林榮國小113學年度學習扶助篩選測驗作業說明</w:t>
      </w:r>
      <w:r>
        <w:rPr>
          <w:rFonts w:ascii="標楷體" w:eastAsia="標楷體" w:hAnsi="標楷體"/>
          <w:sz w:val="28"/>
          <w:szCs w:val="28"/>
        </w:rPr>
        <w:t>1140506</w:t>
      </w:r>
    </w:p>
    <w:p w:rsidR="00D04CE6" w:rsidRPr="00F45DA3" w:rsidRDefault="00D04CE6" w:rsidP="00F45D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color w:val="222222"/>
          <w:sz w:val="28"/>
          <w:szCs w:val="28"/>
          <w:shd w:val="clear" w:color="auto" w:fill="EEEEFF"/>
        </w:rPr>
      </w:pPr>
      <w:r w:rsidRPr="00F45DA3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測驗對象與科目：</w:t>
      </w:r>
      <w:r w:rsidRPr="00F45DA3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各直轄市、縣(市)政府轄內國民中小學校(含國立學校)，依科技化評量系統(以下稱評量系統)公告之核定提報率， 安排1-8年級學生完成測驗。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90"/>
        <w:gridCol w:w="1118"/>
        <w:gridCol w:w="1118"/>
        <w:gridCol w:w="1119"/>
        <w:gridCol w:w="1119"/>
        <w:gridCol w:w="1119"/>
        <w:gridCol w:w="1119"/>
      </w:tblGrid>
      <w:tr w:rsidR="00F45DA3" w:rsidTr="002670B1">
        <w:tc>
          <w:tcPr>
            <w:tcW w:w="1090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0"/>
                <w:szCs w:val="20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0"/>
                <w:szCs w:val="20"/>
                <w:shd w:val="clear" w:color="auto" w:fill="EEEEFF"/>
              </w:rPr>
              <w:t>年級</w:t>
            </w:r>
          </w:p>
          <w:p w:rsidR="002670B1" w:rsidRPr="002670B1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0"/>
                <w:szCs w:val="20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0"/>
                <w:szCs w:val="20"/>
                <w:shd w:val="clear" w:color="auto" w:fill="EEEEFF"/>
              </w:rPr>
              <w:t>科目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一年級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二年級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三年級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四年級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五年級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六年級</w:t>
            </w:r>
          </w:p>
        </w:tc>
      </w:tr>
      <w:tr w:rsidR="00F45DA3" w:rsidTr="00F45DA3">
        <w:tc>
          <w:tcPr>
            <w:tcW w:w="1090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國語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ﾚ紙筆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ﾚ紙筆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</w:t>
            </w:r>
            <w:r w:rsidR="002670B1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</w:tr>
      <w:tr w:rsidR="00F45DA3" w:rsidTr="00F45DA3">
        <w:tc>
          <w:tcPr>
            <w:tcW w:w="1090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數學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ﾚ紙筆</w:t>
            </w:r>
          </w:p>
        </w:tc>
        <w:tc>
          <w:tcPr>
            <w:tcW w:w="1118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ﾚ紙筆</w:t>
            </w:r>
          </w:p>
        </w:tc>
        <w:tc>
          <w:tcPr>
            <w:tcW w:w="1119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</w:t>
            </w:r>
            <w:r w:rsidR="002670B1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</w:tr>
      <w:tr w:rsidR="00F45DA3" w:rsidTr="002670B1">
        <w:tc>
          <w:tcPr>
            <w:tcW w:w="1090" w:type="dxa"/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英文</w:t>
            </w:r>
          </w:p>
        </w:tc>
        <w:tc>
          <w:tcPr>
            <w:tcW w:w="1118" w:type="dxa"/>
            <w:tcBorders>
              <w:tl2br w:val="single" w:sz="4" w:space="0" w:color="auto"/>
            </w:tcBorders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</w:p>
        </w:tc>
        <w:tc>
          <w:tcPr>
            <w:tcW w:w="1118" w:type="dxa"/>
            <w:tcBorders>
              <w:tl2br w:val="single" w:sz="4" w:space="0" w:color="auto"/>
            </w:tcBorders>
          </w:tcPr>
          <w:p w:rsidR="00F45DA3" w:rsidRDefault="00F45DA3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ﾚ紙筆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  <w:tc>
          <w:tcPr>
            <w:tcW w:w="1119" w:type="dxa"/>
          </w:tcPr>
          <w:p w:rsidR="00F45DA3" w:rsidRDefault="002670B1" w:rsidP="00F45DA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EEEE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EEEEFF"/>
              </w:rPr>
              <w:t>ﾚ線上</w:t>
            </w:r>
          </w:p>
        </w:tc>
      </w:tr>
    </w:tbl>
    <w:p w:rsidR="00F45DA3" w:rsidRPr="00F45DA3" w:rsidRDefault="00F45DA3" w:rsidP="00F45DA3">
      <w:pPr>
        <w:pStyle w:val="a4"/>
        <w:ind w:leftChars="0" w:left="720"/>
        <w:rPr>
          <w:rFonts w:ascii="標楷體" w:eastAsia="標楷體" w:hAnsi="標楷體"/>
          <w:color w:val="222222"/>
          <w:sz w:val="28"/>
          <w:szCs w:val="28"/>
          <w:shd w:val="clear" w:color="auto" w:fill="EEEEFF"/>
        </w:rPr>
      </w:pPr>
    </w:p>
    <w:p w:rsidR="00D04CE6" w:rsidRPr="00D04CE6" w:rsidRDefault="00D04CE6" w:rsidP="00D04CE6">
      <w:pPr>
        <w:pStyle w:val="a4"/>
        <w:numPr>
          <w:ilvl w:val="0"/>
          <w:numId w:val="3"/>
        </w:numPr>
        <w:ind w:leftChars="0"/>
        <w:rPr>
          <w:rStyle w:val="a3"/>
          <w:rFonts w:ascii="標楷體" w:eastAsia="標楷體" w:hAnsi="標楷體"/>
          <w:b w:val="0"/>
          <w:bCs w:val="0"/>
          <w:sz w:val="28"/>
          <w:szCs w:val="28"/>
        </w:rPr>
      </w:pP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測驗形式與時間：</w:t>
      </w:r>
    </w:p>
    <w:p w:rsidR="00D04CE6" w:rsidRPr="00D04CE6" w:rsidRDefault="00D04CE6" w:rsidP="00D04CE6">
      <w:pPr>
        <w:rPr>
          <w:rFonts w:ascii="標楷體" w:eastAsia="標楷體" w:hAnsi="標楷體"/>
          <w:color w:val="222222"/>
          <w:sz w:val="28"/>
          <w:szCs w:val="28"/>
          <w:shd w:val="clear" w:color="auto" w:fill="EEEE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1.</w:t>
      </w:r>
      <w:r w:rsidRPr="00D04CE6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本測驗自</w:t>
      </w: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114年5月7日(星期三)起至114年6月30日(星期一)</w:t>
      </w:r>
      <w:r w:rsidRPr="00D04CE6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開放測驗(下修測驗時程同開放測驗時程)。</w:t>
      </w:r>
    </w:p>
    <w:p w:rsidR="00D04CE6" w:rsidRPr="00D04CE6" w:rsidRDefault="00D04CE6" w:rsidP="00867968">
      <w:pPr>
        <w:rPr>
          <w:rFonts w:ascii="標楷體" w:eastAsia="標楷體" w:hAnsi="標楷體"/>
          <w:color w:val="222222"/>
          <w:sz w:val="28"/>
          <w:szCs w:val="28"/>
          <w:shd w:val="clear" w:color="auto" w:fill="EEEE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2.</w:t>
      </w:r>
      <w:r w:rsidRPr="00D04CE6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 xml:space="preserve"> </w:t>
      </w:r>
      <w:r w:rsidR="00867968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學扶之</w:t>
      </w:r>
      <w:r w:rsidRPr="00D04CE6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紙筆測驗，試卷於5月7日前寄送至各校，不須批閱試卷，逕將試卷於</w:t>
      </w:r>
      <w:r w:rsidR="00E7374E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5</w:t>
      </w: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月</w:t>
      </w:r>
      <w:r w:rsidR="00E7374E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28</w:t>
      </w: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日(星期</w:t>
      </w:r>
      <w:r w:rsidR="00E7374E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三</w:t>
      </w: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)前(以郵戳為憑)</w:t>
      </w:r>
      <w:r w:rsidRPr="00D04CE6">
        <w:rPr>
          <w:rFonts w:ascii="標楷體" w:eastAsia="標楷體" w:hAnsi="標楷體" w:hint="eastAsia"/>
          <w:color w:val="222222"/>
          <w:sz w:val="28"/>
          <w:szCs w:val="28"/>
          <w:shd w:val="clear" w:color="auto" w:fill="EEEEFF"/>
        </w:rPr>
        <w:t>將試卷資料寄回基金會判讀閱卷。</w:t>
      </w:r>
    </w:p>
    <w:p w:rsidR="00D04CE6" w:rsidRPr="00D04CE6" w:rsidRDefault="00867968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3.</w:t>
      </w:r>
      <w:r w:rsidR="00D04CE6" w:rsidRPr="00D04CE6"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線上測驗：</w:t>
      </w:r>
      <w:r w:rsidR="00E7374E">
        <w:rPr>
          <w:rFonts w:ascii="標楷體" w:eastAsia="標楷體" w:hAnsi="標楷體" w:hint="eastAsia"/>
          <w:color w:val="222222"/>
          <w:sz w:val="28"/>
          <w:szCs w:val="28"/>
        </w:rPr>
        <w:t>本校已預約</w:t>
      </w:r>
      <w:r w:rsidR="00F22C1E">
        <w:rPr>
          <w:rFonts w:ascii="標楷體" w:eastAsia="標楷體" w:hAnsi="標楷體" w:hint="eastAsia"/>
          <w:color w:val="222222"/>
          <w:sz w:val="28"/>
          <w:szCs w:val="28"/>
        </w:rPr>
        <w:t>五月份</w:t>
      </w:r>
      <w:r w:rsidR="00E7374E">
        <w:rPr>
          <w:rFonts w:ascii="標楷體" w:eastAsia="標楷體" w:hAnsi="標楷體" w:hint="eastAsia"/>
          <w:color w:val="222222"/>
          <w:sz w:val="28"/>
          <w:szCs w:val="28"/>
        </w:rPr>
        <w:t>每星期</w:t>
      </w:r>
      <w:r w:rsidR="00F22C1E">
        <w:rPr>
          <w:rFonts w:ascii="標楷體" w:eastAsia="標楷體" w:hAnsi="標楷體" w:hint="eastAsia"/>
          <w:color w:val="222222"/>
          <w:sz w:val="28"/>
          <w:szCs w:val="28"/>
        </w:rPr>
        <w:t>一、二、四、五下午4時至40分</w:t>
      </w:r>
      <w:r w:rsidR="00F22C1E" w:rsidRPr="00D04CE6"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進行線上測驗</w:t>
      </w:r>
      <w:r w:rsidR="00F22C1E"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。</w:t>
      </w:r>
      <w:r w:rsidR="00D04CE6" w:rsidRPr="00867968">
        <w:rPr>
          <w:rFonts w:ascii="標楷體" w:eastAsia="標楷體" w:hAnsi="標楷體" w:hint="eastAsia"/>
          <w:b/>
          <w:color w:val="222222"/>
          <w:sz w:val="28"/>
          <w:szCs w:val="28"/>
          <w:u w:val="single"/>
        </w:rPr>
        <w:t>配合國小應屆畢業生離校時程，請優先安排6年級學生</w:t>
      </w:r>
      <w:r w:rsidR="00F22C1E">
        <w:rPr>
          <w:rFonts w:ascii="標楷體" w:eastAsia="標楷體" w:hAnsi="標楷體" w:hint="eastAsia"/>
          <w:b/>
          <w:color w:val="222222"/>
          <w:sz w:val="28"/>
          <w:szCs w:val="28"/>
          <w:u w:val="single"/>
        </w:rPr>
        <w:t>在5月底前</w:t>
      </w:r>
      <w:bookmarkStart w:id="0" w:name="_GoBack"/>
      <w:bookmarkEnd w:id="0"/>
      <w:r w:rsidR="00D04CE6" w:rsidRPr="00867968">
        <w:rPr>
          <w:rFonts w:ascii="標楷體" w:eastAsia="標楷體" w:hAnsi="標楷體" w:hint="eastAsia"/>
          <w:b/>
          <w:color w:val="222222"/>
          <w:sz w:val="28"/>
          <w:szCs w:val="28"/>
          <w:u w:val="single"/>
        </w:rPr>
        <w:t>進行測驗。</w:t>
      </w:r>
    </w:p>
    <w:p w:rsidR="00D04CE6" w:rsidRPr="00D04CE6" w:rsidRDefault="00867968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>
        <w:rPr>
          <w:rFonts w:ascii="標楷體" w:eastAsia="標楷體" w:hAnsi="標楷體" w:hint="eastAsia"/>
          <w:color w:val="222222"/>
          <w:sz w:val="28"/>
          <w:szCs w:val="28"/>
        </w:rPr>
        <w:lastRenderedPageBreak/>
        <w:t>※</w:t>
      </w:r>
      <w:r w:rsidR="00D04CE6" w:rsidRPr="00D04CE6">
        <w:rPr>
          <w:rFonts w:ascii="標楷體" w:eastAsia="標楷體" w:hAnsi="標楷體" w:hint="eastAsia"/>
          <w:color w:val="222222"/>
          <w:sz w:val="28"/>
          <w:szCs w:val="28"/>
        </w:rPr>
        <w:t>英語測驗包含聽力測驗，請學校於英語科施測前檢視耳機或廣播配備及功能。</w:t>
      </w:r>
    </w:p>
    <w:p w:rsid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4.請通知受測學生，於受測數學科時，務必攜帶空白計算紙與文具，俾測驗時計算使用。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三、113學年度應屆畢業生異動轉銜時程如下：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(一)國小端請於6月3-20日進行應屆畢業個案學生異動轉銜作業。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(二)國中端請於6月3-30日進行接收國小應屆畢業生與9年級個案名單異動轉銜作業。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Style w:val="a3"/>
          <w:rFonts w:ascii="標楷體" w:eastAsia="標楷體" w:hAnsi="標楷體" w:hint="eastAsia"/>
          <w:color w:val="222222"/>
          <w:sz w:val="28"/>
          <w:szCs w:val="28"/>
        </w:rPr>
        <w:t>四、測驗相關問題與意見反應：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(一)科技化評量系統使用問題：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1.專線電話：05-5529722~5529723、5529725~5529727</w:t>
      </w:r>
    </w:p>
    <w:p w:rsidR="00D04CE6" w:rsidRPr="00D04CE6" w:rsidRDefault="00D04CE6" w:rsidP="00D04CE6">
      <w:pPr>
        <w:pStyle w:val="Web"/>
        <w:jc w:val="both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2.網路電話：99167001~99167008</w:t>
      </w:r>
    </w:p>
    <w:p w:rsidR="00D04CE6" w:rsidRPr="00D04CE6" w:rsidRDefault="00D04CE6" w:rsidP="00D04CE6">
      <w:pPr>
        <w:pStyle w:val="Web"/>
        <w:rPr>
          <w:rFonts w:ascii="標楷體" w:eastAsia="標楷體" w:hAnsi="標楷體"/>
          <w:color w:val="222222"/>
          <w:sz w:val="28"/>
          <w:szCs w:val="28"/>
        </w:rPr>
      </w:pPr>
      <w:r w:rsidRPr="00D04CE6">
        <w:rPr>
          <w:rFonts w:ascii="標楷體" w:eastAsia="標楷體" w:hAnsi="標楷體" w:hint="eastAsia"/>
          <w:color w:val="222222"/>
          <w:sz w:val="28"/>
          <w:szCs w:val="28"/>
        </w:rPr>
        <w:t>(二)網路填報系統使用問題專線：06-2140992。</w:t>
      </w:r>
    </w:p>
    <w:p w:rsidR="00D04CE6" w:rsidRPr="00D04CE6" w:rsidRDefault="00D04CE6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sectPr w:rsidR="00D04CE6" w:rsidRPr="00D04C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C2E"/>
    <w:multiLevelType w:val="hybridMultilevel"/>
    <w:tmpl w:val="474A7592"/>
    <w:lvl w:ilvl="0" w:tplc="629A1A46">
      <w:start w:val="1"/>
      <w:numFmt w:val="taiwaneseCountingThousan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7284464"/>
    <w:multiLevelType w:val="hybridMultilevel"/>
    <w:tmpl w:val="79BA3228"/>
    <w:lvl w:ilvl="0" w:tplc="79C04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B43F9A"/>
    <w:multiLevelType w:val="hybridMultilevel"/>
    <w:tmpl w:val="6AC69266"/>
    <w:lvl w:ilvl="0" w:tplc="B928B7E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6"/>
    <w:rsid w:val="002670B1"/>
    <w:rsid w:val="006107DD"/>
    <w:rsid w:val="00867968"/>
    <w:rsid w:val="00B032D3"/>
    <w:rsid w:val="00BB2ED7"/>
    <w:rsid w:val="00D04CE6"/>
    <w:rsid w:val="00E7374E"/>
    <w:rsid w:val="00F22C1E"/>
    <w:rsid w:val="00F45DA3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CE6"/>
    <w:rPr>
      <w:b/>
      <w:bCs/>
    </w:rPr>
  </w:style>
  <w:style w:type="paragraph" w:styleId="a4">
    <w:name w:val="List Paragraph"/>
    <w:basedOn w:val="a"/>
    <w:uiPriority w:val="34"/>
    <w:qFormat/>
    <w:rsid w:val="00D04CE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04C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F4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4CE6"/>
    <w:rPr>
      <w:b/>
      <w:bCs/>
    </w:rPr>
  </w:style>
  <w:style w:type="paragraph" w:styleId="a4">
    <w:name w:val="List Paragraph"/>
    <w:basedOn w:val="a"/>
    <w:uiPriority w:val="34"/>
    <w:qFormat/>
    <w:rsid w:val="00D04CE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04C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F4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2025-05-07T02:11:00Z</cp:lastPrinted>
  <dcterms:created xsi:type="dcterms:W3CDTF">2025-05-06T02:04:00Z</dcterms:created>
  <dcterms:modified xsi:type="dcterms:W3CDTF">2025-05-10T03:01:00Z</dcterms:modified>
</cp:coreProperties>
</file>